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3794"/>
        <w:gridCol w:w="1417"/>
        <w:gridCol w:w="4111"/>
        <w:gridCol w:w="1418"/>
      </w:tblGrid>
      <w:tr w:rsidR="00D4310E" w14:paraId="7DAF0D82" w14:textId="77777777" w:rsidTr="00471572">
        <w:tc>
          <w:tcPr>
            <w:tcW w:w="3794" w:type="dxa"/>
            <w:tcBorders>
              <w:right w:val="nil"/>
            </w:tcBorders>
            <w:vAlign w:val="center"/>
          </w:tcPr>
          <w:p w14:paraId="57DA916C" w14:textId="357882D0" w:rsidR="00D4310E" w:rsidRPr="00D4310E" w:rsidRDefault="00D4310E" w:rsidP="00D4310E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D4310E">
              <w:rPr>
                <w:rFonts w:ascii="標楷體" w:eastAsia="標楷體" w:hAnsi="標楷體" w:hint="eastAsia"/>
                <w:sz w:val="32"/>
                <w:szCs w:val="32"/>
              </w:rPr>
              <w:t xml:space="preserve">國立成功大學 </w:t>
            </w:r>
            <w:r w:rsidR="005B6D61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r w:rsidRPr="00D4310E">
              <w:rPr>
                <w:rFonts w:ascii="標楷體" w:eastAsia="標楷體" w:hAnsi="標楷體" w:hint="eastAsia"/>
                <w:sz w:val="32"/>
                <w:szCs w:val="32"/>
              </w:rPr>
              <w:t xml:space="preserve">學年度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709C641" w14:textId="77777777" w:rsidR="00D4310E" w:rsidRPr="00D4310E" w:rsidRDefault="00D4310E" w:rsidP="00D431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4310E">
              <w:rPr>
                <w:rFonts w:ascii="標楷體" w:eastAsia="標楷體" w:hAnsi="標楷體" w:hint="eastAsia"/>
                <w:szCs w:val="24"/>
              </w:rPr>
              <w:t>博士班學生       資格考</w:t>
            </w:r>
          </w:p>
        </w:tc>
        <w:tc>
          <w:tcPr>
            <w:tcW w:w="4111" w:type="dxa"/>
            <w:tcBorders>
              <w:left w:val="nil"/>
              <w:right w:val="nil"/>
            </w:tcBorders>
            <w:vAlign w:val="center"/>
          </w:tcPr>
          <w:p w14:paraId="47D6D50E" w14:textId="77777777" w:rsidR="005B6D61" w:rsidRDefault="00D4310E" w:rsidP="00D4310E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D4310E">
              <w:rPr>
                <w:rFonts w:ascii="標楷體" w:eastAsia="標楷體" w:hAnsi="標楷體" w:hint="eastAsia"/>
                <w:sz w:val="32"/>
                <w:szCs w:val="32"/>
              </w:rPr>
              <w:t xml:space="preserve">考試（ </w:t>
            </w:r>
            <w:r w:rsidR="005B6D61">
              <w:rPr>
                <w:rFonts w:ascii="標楷體" w:eastAsia="標楷體" w:hAnsi="標楷體" w:hint="eastAsia"/>
                <w:sz w:val="32"/>
                <w:szCs w:val="32"/>
              </w:rPr>
              <w:t>水文地質</w:t>
            </w:r>
            <w:r w:rsidRPr="00D4310E">
              <w:rPr>
                <w:rFonts w:ascii="標楷體" w:eastAsia="標楷體" w:hAnsi="標楷體" w:hint="eastAsia"/>
                <w:sz w:val="32"/>
                <w:szCs w:val="32"/>
              </w:rPr>
              <w:t xml:space="preserve">  試題）</w:t>
            </w:r>
          </w:p>
          <w:p w14:paraId="4D07ACA4" w14:textId="4BB05C6E" w:rsidR="00D4310E" w:rsidRPr="00D4310E" w:rsidRDefault="005B6D61" w:rsidP="00D4310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B6D61">
              <w:rPr>
                <w:rFonts w:ascii="標楷體" w:eastAsia="標楷體" w:hAnsi="標楷體" w:hint="eastAsia"/>
                <w:szCs w:val="24"/>
              </w:rPr>
              <w:t>OPEN BOOK  開卷式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3A76E153" w14:textId="588CDEEB" w:rsidR="00D4310E" w:rsidRPr="00D4310E" w:rsidRDefault="00D4310E" w:rsidP="00D431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4310E">
              <w:rPr>
                <w:rFonts w:ascii="標楷體" w:eastAsia="標楷體" w:hAnsi="標楷體" w:hint="eastAsia"/>
                <w:szCs w:val="24"/>
              </w:rPr>
              <w:t xml:space="preserve">第  </w:t>
            </w:r>
            <w:r w:rsidR="005B6D61">
              <w:rPr>
                <w:rFonts w:ascii="標楷體" w:eastAsia="標楷體" w:hAnsi="標楷體" w:hint="eastAsia"/>
                <w:szCs w:val="24"/>
              </w:rPr>
              <w:t>1</w:t>
            </w:r>
            <w:r w:rsidRPr="00D4310E">
              <w:rPr>
                <w:rFonts w:ascii="標楷體" w:eastAsia="標楷體" w:hAnsi="標楷體" w:hint="eastAsia"/>
                <w:szCs w:val="24"/>
              </w:rPr>
              <w:t xml:space="preserve"> 頁</w:t>
            </w:r>
            <w:r w:rsidRPr="00D4310E">
              <w:rPr>
                <w:rFonts w:ascii="標楷體" w:eastAsia="標楷體" w:hAnsi="標楷體"/>
                <w:szCs w:val="24"/>
              </w:rPr>
              <w:br/>
            </w:r>
            <w:r w:rsidRPr="00D4310E">
              <w:rPr>
                <w:rFonts w:ascii="標楷體" w:eastAsia="標楷體" w:hAnsi="標楷體" w:hint="eastAsia"/>
                <w:szCs w:val="24"/>
              </w:rPr>
              <w:t xml:space="preserve">共  </w:t>
            </w:r>
            <w:r w:rsidR="005B6D61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310E">
              <w:rPr>
                <w:rFonts w:ascii="標楷體" w:eastAsia="標楷體" w:hAnsi="標楷體" w:hint="eastAsia"/>
                <w:szCs w:val="24"/>
              </w:rPr>
              <w:t>頁</w:t>
            </w:r>
          </w:p>
        </w:tc>
      </w:tr>
      <w:tr w:rsidR="00082077" w14:paraId="63DA8CDD" w14:textId="77777777" w:rsidTr="005B6D61">
        <w:trPr>
          <w:trHeight w:val="12926"/>
        </w:trPr>
        <w:tc>
          <w:tcPr>
            <w:tcW w:w="10740" w:type="dxa"/>
            <w:gridSpan w:val="4"/>
          </w:tcPr>
          <w:p w14:paraId="4CCD5A6B" w14:textId="77777777" w:rsidR="005B6D61" w:rsidRPr="00EC63B4" w:rsidRDefault="005B6D61" w:rsidP="005B6D61">
            <w:pPr>
              <w:pStyle w:val="a8"/>
              <w:numPr>
                <w:ilvl w:val="0"/>
                <w:numId w:val="1"/>
              </w:num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bookmarkStart w:id="0" w:name="_Hlk205543129"/>
            <w:r w:rsidRPr="00EC63B4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說</w:t>
            </w:r>
            <w:r w:rsidRPr="00EC63B4">
              <w:rPr>
                <w:rFonts w:ascii="標楷體" w:eastAsia="標楷體" w:hAnsi="標楷體" w:cs="MS Mincho" w:hint="eastAsia"/>
                <w:sz w:val="24"/>
                <w:szCs w:val="24"/>
                <w:lang w:eastAsia="zh-TW"/>
              </w:rPr>
              <w:t>明下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列名詞差異：</w:t>
            </w:r>
          </w:p>
          <w:p w14:paraId="7D12AA36" w14:textId="77777777" w:rsidR="005B6D61" w:rsidRDefault="005B6D61" w:rsidP="005B6D61">
            <w:pPr>
              <w:pStyle w:val="a8"/>
              <w:ind w:leftChars="218" w:left="893" w:hangingChars="154" w:hanging="37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(a)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水力傳導係數（</w:t>
            </w:r>
            <w:r w:rsidRPr="00EC63B4">
              <w:rPr>
                <w:rFonts w:ascii="標楷體" w:eastAsia="標楷體" w:hAnsi="標楷體"/>
                <w:sz w:val="24"/>
                <w:szCs w:val="24"/>
                <w:lang w:eastAsia="zh-TW"/>
              </w:rPr>
              <w:t>hydraulic conductivity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）與</w:t>
            </w:r>
            <w:r w:rsidRPr="00EC63B4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內</w:t>
            </w:r>
            <w:r w:rsidRPr="00EC63B4">
              <w:rPr>
                <w:rFonts w:ascii="標楷體" w:eastAsia="標楷體" w:hAnsi="標楷體" w:cs="MS Mincho" w:hint="eastAsia"/>
                <w:sz w:val="24"/>
                <w:szCs w:val="24"/>
                <w:lang w:eastAsia="zh-TW"/>
              </w:rPr>
              <w:t>在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滲透率（</w:t>
            </w:r>
            <w:r w:rsidRPr="00EC63B4">
              <w:rPr>
                <w:rFonts w:ascii="標楷體" w:eastAsia="標楷體" w:hAnsi="標楷體"/>
                <w:sz w:val="24"/>
                <w:szCs w:val="24"/>
                <w:lang w:eastAsia="zh-TW"/>
              </w:rPr>
              <w:t>intrinsic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 permeability）    （10分）</w:t>
            </w:r>
          </w:p>
          <w:p w14:paraId="5018D6AC" w14:textId="77777777" w:rsidR="005B6D61" w:rsidRDefault="005B6D61" w:rsidP="005B6D61">
            <w:pPr>
              <w:pStyle w:val="a8"/>
              <w:ind w:firstLineChars="177" w:firstLine="425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b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)</w:t>
            </w:r>
            <w:proofErr w:type="gramStart"/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達西定律</w:t>
            </w:r>
            <w:proofErr w:type="gramEnd"/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（10分）</w:t>
            </w:r>
          </w:p>
          <w:p w14:paraId="446A9BD9" w14:textId="77777777" w:rsidR="005B6D61" w:rsidRPr="00EC63B4" w:rsidRDefault="005B6D61" w:rsidP="005B6D61">
            <w:pPr>
              <w:pStyle w:val="a8"/>
              <w:numPr>
                <w:ilvl w:val="0"/>
                <w:numId w:val="1"/>
              </w:num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請分別</w:t>
            </w:r>
            <w:r w:rsidRPr="00EC63B4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說</w:t>
            </w:r>
            <w:r w:rsidRPr="00EC63B4">
              <w:rPr>
                <w:rFonts w:ascii="標楷體" w:eastAsia="標楷體" w:hAnsi="標楷體" w:cs="MS Mincho" w:hint="eastAsia"/>
                <w:sz w:val="24"/>
                <w:szCs w:val="24"/>
                <w:lang w:eastAsia="zh-TW"/>
              </w:rPr>
              <w:t>明</w:t>
            </w:r>
            <w:proofErr w:type="gramStart"/>
            <w:r w:rsidRPr="00EC63B4">
              <w:rPr>
                <w:rFonts w:ascii="標楷體" w:eastAsia="標楷體" w:hAnsi="標楷體" w:cs="MS Mincho" w:hint="eastAsia"/>
                <w:sz w:val="24"/>
                <w:szCs w:val="24"/>
                <w:lang w:eastAsia="zh-TW"/>
              </w:rPr>
              <w:t>具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有均向性與異向性</w:t>
            </w:r>
            <w:proofErr w:type="gramEnd"/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水力傳導係數之含水層，地下水水力梯度和等勢能線關係。 （10 分）</w:t>
            </w:r>
          </w:p>
          <w:p w14:paraId="2796BE2F" w14:textId="77777777" w:rsidR="00591CED" w:rsidRPr="00591CED" w:rsidRDefault="00591CED" w:rsidP="00591CED">
            <w:pPr>
              <w:pStyle w:val="a8"/>
              <w:numPr>
                <w:ilvl w:val="0"/>
                <w:numId w:val="1"/>
              </w:numP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</w:pPr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現地調查垂直方向的傳輸能力，常用</w:t>
            </w:r>
            <w:proofErr w:type="gramStart"/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雙環入滲儀</w:t>
            </w:r>
            <w:proofErr w:type="gramEnd"/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（double ring infiltrometer instructions）來進行垂直方向的</w:t>
            </w:r>
            <w:proofErr w:type="gramStart"/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入滲率調查</w:t>
            </w:r>
            <w:proofErr w:type="gramEnd"/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，</w:t>
            </w:r>
          </w:p>
          <w:p w14:paraId="5D0AD3C2" w14:textId="2460368B" w:rsidR="00591CED" w:rsidRDefault="00591CED" w:rsidP="00591CED">
            <w:pPr>
              <w:pStyle w:val="a8"/>
              <w:numPr>
                <w:ilvl w:val="0"/>
                <w:numId w:val="4"/>
              </w:num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繪圖並說明</w:t>
            </w:r>
            <w:proofErr w:type="gramStart"/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雙環入</w:t>
            </w:r>
            <w:proofErr w:type="gramEnd"/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滲試驗原理（10 分）</w:t>
            </w:r>
          </w:p>
          <w:p w14:paraId="036AACA5" w14:textId="77777777" w:rsidR="00591CED" w:rsidRPr="00591CED" w:rsidRDefault="00591CED" w:rsidP="00591CED">
            <w:pPr>
              <w:pStyle w:val="a8"/>
              <w:numPr>
                <w:ilvl w:val="0"/>
                <w:numId w:val="4"/>
              </w:numP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</w:pPr>
            <w:r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此試驗可用來求現地飽和水力傳導係數值理由。（10 分）</w:t>
            </w:r>
          </w:p>
          <w:p w14:paraId="4CB43B04" w14:textId="3C1A17A6" w:rsidR="005B6D61" w:rsidRDefault="005B6D61" w:rsidP="005B6D61">
            <w:pPr>
              <w:pStyle w:val="a8"/>
              <w:numPr>
                <w:ilvl w:val="0"/>
                <w:numId w:val="1"/>
              </w:num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建立水文地質概念模型後，進行地下水流場模擬分析時，須給予不透水邊界、定水頭邊界或流量邊界之自然邊界（natural boundary）方可進行模擬&gt; 試問 自然邊界有那些？至少須各寫出一種不透水邊界、定水頭邊界與流量邊界。（15 分）</w:t>
            </w:r>
          </w:p>
          <w:bookmarkEnd w:id="0"/>
          <w:p w14:paraId="7513B985" w14:textId="77777777" w:rsidR="00591CED" w:rsidRDefault="00591CED" w:rsidP="00591CED">
            <w:pPr>
              <w:pStyle w:val="a8"/>
              <w:numPr>
                <w:ilvl w:val="0"/>
                <w:numId w:val="1"/>
              </w:num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(1)</w:t>
            </w:r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繪出典型沖積扇水文地質剖面示意圖，來</w:t>
            </w:r>
            <w:r w:rsidR="005B6D61" w:rsidRPr="00591CED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說</w:t>
            </w:r>
            <w:r w:rsidR="005B6D61" w:rsidRPr="00591CED">
              <w:rPr>
                <w:rFonts w:ascii="標楷體" w:eastAsia="標楷體" w:hAnsi="標楷體" w:cs="MS Mincho" w:hint="eastAsia"/>
                <w:sz w:val="24"/>
                <w:szCs w:val="24"/>
                <w:lang w:eastAsia="zh-TW"/>
              </w:rPr>
              <w:t>明</w:t>
            </w:r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自由含水層、滲漏含水層、</w:t>
            </w:r>
            <w:proofErr w:type="gramStart"/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承壓含水層</w:t>
            </w:r>
            <w:proofErr w:type="gramEnd"/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三個區</w:t>
            </w:r>
          </w:p>
          <w:p w14:paraId="687D4662" w14:textId="06817F8C" w:rsidR="005B6D61" w:rsidRDefault="00591CED" w:rsidP="00591CED">
            <w:pPr>
              <w:pStyle w:val="a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      </w:t>
            </w:r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段</w:t>
            </w:r>
            <w:proofErr w:type="gramStart"/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與扇頂</w:t>
            </w:r>
            <w:proofErr w:type="gramEnd"/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、扇央、</w:t>
            </w:r>
            <w:proofErr w:type="gramStart"/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扇尾水文</w:t>
            </w:r>
            <w:proofErr w:type="gramEnd"/>
            <w:r w:rsidR="005B6D61" w:rsidRPr="00591CE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地質帶之關係？（15 分）</w:t>
            </w:r>
          </w:p>
          <w:p w14:paraId="6FF266E2" w14:textId="77777777" w:rsidR="00591CED" w:rsidRDefault="00591CED" w:rsidP="00591CED">
            <w:pPr>
              <w:pStyle w:val="a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   (2)</w:t>
            </w:r>
            <w:proofErr w:type="gramStart"/>
            <w:r w:rsidR="005B6D61" w:rsidRPr="00EC63B4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說</w:t>
            </w:r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明扇頂</w:t>
            </w:r>
            <w:proofErr w:type="gramEnd"/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、扇央、</w:t>
            </w:r>
            <w:proofErr w:type="gramStart"/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扇尾水文</w:t>
            </w:r>
            <w:proofErr w:type="gramEnd"/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地質帶三個區段之（</w:t>
            </w:r>
            <w:r w:rsidR="005B6D61" w:rsidRPr="00EC63B4">
              <w:rPr>
                <w:rFonts w:ascii="標楷體" w:eastAsia="標楷體" w:hAnsi="標楷體"/>
                <w:sz w:val="24"/>
                <w:szCs w:val="24"/>
                <w:lang w:eastAsia="zh-TW"/>
              </w:rPr>
              <w:t>a</w:t>
            </w:r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）顆粒粗細、（</w:t>
            </w:r>
            <w:r w:rsidR="005B6D61" w:rsidRPr="00EC63B4">
              <w:rPr>
                <w:rFonts w:ascii="標楷體" w:eastAsia="標楷體" w:hAnsi="標楷體"/>
                <w:sz w:val="24"/>
                <w:szCs w:val="24"/>
                <w:lang w:eastAsia="zh-TW"/>
              </w:rPr>
              <w:t>b</w:t>
            </w:r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  <w:proofErr w:type="gramStart"/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礦化度</w:t>
            </w:r>
            <w:proofErr w:type="gramEnd"/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高低、（c）透</w:t>
            </w:r>
          </w:p>
          <w:p w14:paraId="2901FA70" w14:textId="297F1D12" w:rsidR="005B6D61" w:rsidRDefault="00591CED" w:rsidP="00591CED">
            <w:pPr>
              <w:pStyle w:val="a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      </w:t>
            </w:r>
            <w:r w:rsidR="005B6D61"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水性強弱、（d）富水性強弱、（e）潛水位埋藏深度深淺程度。（10 分）</w:t>
            </w:r>
          </w:p>
          <w:p w14:paraId="2E997353" w14:textId="77777777" w:rsidR="00591CED" w:rsidRPr="00EC63B4" w:rsidRDefault="00591CED" w:rsidP="00591CED">
            <w:pPr>
              <w:pStyle w:val="a8"/>
              <w:numPr>
                <w:ilvl w:val="0"/>
                <w:numId w:val="1"/>
              </w:num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對一水均衡（</w:t>
            </w:r>
            <w:r w:rsidRPr="00EC63B4">
              <w:rPr>
                <w:rFonts w:ascii="標楷體" w:eastAsia="標楷體" w:hAnsi="標楷體"/>
                <w:sz w:val="24"/>
                <w:szCs w:val="24"/>
                <w:lang w:eastAsia="zh-TW"/>
              </w:rPr>
              <w:t>water balance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）之閉合流域（</w:t>
            </w:r>
            <w:r w:rsidRPr="00EC63B4">
              <w:rPr>
                <w:rFonts w:ascii="標楷體" w:eastAsia="標楷體" w:hAnsi="標楷體"/>
                <w:sz w:val="24"/>
                <w:szCs w:val="24"/>
                <w:lang w:eastAsia="zh-TW"/>
              </w:rPr>
              <w:t>watershed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），在水均衡期間</w:t>
            </w:r>
            <w:r w:rsidRPr="00EC63B4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內</w:t>
            </w:r>
            <w:r w:rsidRPr="00EC63B4">
              <w:rPr>
                <w:rFonts w:ascii="標楷體" w:eastAsia="標楷體" w:hAnsi="標楷體" w:cs="MS Mincho" w:hint="eastAsia"/>
                <w:sz w:val="24"/>
                <w:szCs w:val="24"/>
                <w:lang w:eastAsia="zh-TW"/>
              </w:rPr>
              <w:t>，寫出該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流域水均衡方程式，並根據此水均衡方程式</w:t>
            </w:r>
            <w:r w:rsidRPr="00EC63B4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說</w:t>
            </w:r>
            <w:r w:rsidRPr="00EC63B4">
              <w:rPr>
                <w:rFonts w:ascii="標楷體" w:eastAsia="標楷體" w:hAnsi="標楷體" w:cs="MS Mincho" w:hint="eastAsia"/>
                <w:sz w:val="24"/>
                <w:szCs w:val="24"/>
                <w:lang w:eastAsia="zh-TW"/>
              </w:rPr>
              <w:t>明其收支項。（</w:t>
            </w:r>
            <w:r w:rsidRPr="00EC63B4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10 </w:t>
            </w:r>
            <w:r w:rsidRPr="00EC63B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分）</w:t>
            </w:r>
          </w:p>
          <w:p w14:paraId="3FA624B2" w14:textId="77777777" w:rsidR="00082077" w:rsidRDefault="00082077"/>
        </w:tc>
      </w:tr>
    </w:tbl>
    <w:p w14:paraId="525AF012" w14:textId="77777777" w:rsidR="005B5774" w:rsidRPr="00D4310E" w:rsidRDefault="00082077" w:rsidP="00D4310E">
      <w:pPr>
        <w:snapToGrid w:val="0"/>
        <w:rPr>
          <w:sz w:val="12"/>
          <w:szCs w:val="12"/>
        </w:rPr>
      </w:pPr>
      <w:r>
        <w:rPr>
          <w:rFonts w:hint="eastAsia"/>
        </w:rPr>
        <w:t xml:space="preserve">  </w:t>
      </w:r>
      <w:r w:rsidR="005B5774">
        <w:rPr>
          <w:rFonts w:hint="eastAsia"/>
        </w:rPr>
        <w:t xml:space="preserve">   </w:t>
      </w:r>
      <w:r w:rsidR="005B5774" w:rsidRPr="00D4310E">
        <w:rPr>
          <w:rFonts w:hint="eastAsia"/>
          <w:sz w:val="12"/>
          <w:szCs w:val="12"/>
        </w:rPr>
        <w:t xml:space="preserve">   </w:t>
      </w:r>
    </w:p>
    <w:tbl>
      <w:tblPr>
        <w:tblStyle w:val="a3"/>
        <w:tblW w:w="10774" w:type="dxa"/>
        <w:tblInd w:w="-34" w:type="dxa"/>
        <w:tblLook w:val="04A0" w:firstRow="1" w:lastRow="0" w:firstColumn="1" w:lastColumn="0" w:noHBand="0" w:noVBand="1"/>
      </w:tblPr>
      <w:tblGrid>
        <w:gridCol w:w="7529"/>
        <w:gridCol w:w="1109"/>
        <w:gridCol w:w="2136"/>
      </w:tblGrid>
      <w:tr w:rsidR="00D4310E" w14:paraId="242E2976" w14:textId="77777777" w:rsidTr="00471572">
        <w:tc>
          <w:tcPr>
            <w:tcW w:w="7797" w:type="dxa"/>
            <w:tcBorders>
              <w:top w:val="nil"/>
              <w:left w:val="nil"/>
              <w:bottom w:val="nil"/>
            </w:tcBorders>
          </w:tcPr>
          <w:p w14:paraId="05B8D110" w14:textId="77777777" w:rsidR="00D4310E" w:rsidRPr="00D4310E" w:rsidRDefault="00D4310E" w:rsidP="00D4310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4310E">
              <w:rPr>
                <w:rFonts w:ascii="標楷體" w:eastAsia="標楷體" w:hAnsi="標楷體" w:hint="eastAsia"/>
                <w:sz w:val="20"/>
                <w:szCs w:val="20"/>
              </w:rPr>
              <w:t>(題目將用本張複印製版請以黑色正楷書寫或打字並請勿超出此線)</w:t>
            </w:r>
          </w:p>
        </w:tc>
        <w:tc>
          <w:tcPr>
            <w:tcW w:w="1134" w:type="dxa"/>
          </w:tcPr>
          <w:p w14:paraId="1E390338" w14:textId="77777777" w:rsidR="00D4310E" w:rsidRPr="00D4310E" w:rsidRDefault="00D4310E" w:rsidP="00D4310E">
            <w:pPr>
              <w:jc w:val="center"/>
              <w:rPr>
                <w:rFonts w:ascii="標楷體" w:eastAsia="標楷體" w:hAnsi="標楷體"/>
              </w:rPr>
            </w:pPr>
            <w:r w:rsidRPr="00D4310E">
              <w:rPr>
                <w:rFonts w:ascii="標楷體" w:eastAsia="標楷體" w:hAnsi="標楷體" w:hint="eastAsia"/>
              </w:rPr>
              <w:t>命題人</w:t>
            </w:r>
            <w:r>
              <w:rPr>
                <w:rFonts w:ascii="標楷體" w:eastAsia="標楷體" w:hAnsi="標楷體"/>
              </w:rPr>
              <w:br/>
            </w:r>
            <w:r w:rsidRPr="00D4310E">
              <w:rPr>
                <w:rFonts w:ascii="標楷體" w:eastAsia="標楷體" w:hAnsi="標楷體" w:hint="eastAsia"/>
              </w:rPr>
              <w:t>簽  章</w:t>
            </w:r>
          </w:p>
        </w:tc>
        <w:tc>
          <w:tcPr>
            <w:tcW w:w="1843" w:type="dxa"/>
          </w:tcPr>
          <w:p w14:paraId="0C3D3BDC" w14:textId="55B4FDF3" w:rsidR="00D4310E" w:rsidRDefault="005B6D61">
            <w:r w:rsidRPr="005B6D61">
              <w:rPr>
                <w:noProof/>
              </w:rPr>
              <w:drawing>
                <wp:inline distT="0" distB="0" distL="0" distR="0" wp14:anchorId="1B7F3EF4" wp14:editId="60785DA4">
                  <wp:extent cx="1217295" cy="457200"/>
                  <wp:effectExtent l="0" t="0" r="190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330" cy="464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F952BC" w14:textId="77777777" w:rsidR="00D15766" w:rsidRPr="00D4310E" w:rsidRDefault="00D15766" w:rsidP="00D4310E">
      <w:pPr>
        <w:snapToGrid w:val="0"/>
        <w:rPr>
          <w:sz w:val="12"/>
          <w:szCs w:val="12"/>
        </w:rPr>
      </w:pPr>
    </w:p>
    <w:sectPr w:rsidR="00D15766" w:rsidRPr="00D4310E" w:rsidSect="00D410B7">
      <w:pgSz w:w="11906" w:h="16838"/>
      <w:pgMar w:top="720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279D0" w14:textId="77777777" w:rsidR="00FF0CD1" w:rsidRDefault="00FF0CD1" w:rsidP="005B6D61">
      <w:r>
        <w:separator/>
      </w:r>
    </w:p>
  </w:endnote>
  <w:endnote w:type="continuationSeparator" w:id="0">
    <w:p w14:paraId="636BA972" w14:textId="77777777" w:rsidR="00FF0CD1" w:rsidRDefault="00FF0CD1" w:rsidP="005B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B1B86" w14:textId="77777777" w:rsidR="00FF0CD1" w:rsidRDefault="00FF0CD1" w:rsidP="005B6D61">
      <w:r>
        <w:separator/>
      </w:r>
    </w:p>
  </w:footnote>
  <w:footnote w:type="continuationSeparator" w:id="0">
    <w:p w14:paraId="69B0D2BE" w14:textId="77777777" w:rsidR="00FF0CD1" w:rsidRDefault="00FF0CD1" w:rsidP="005B6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73CD"/>
    <w:multiLevelType w:val="hybridMultilevel"/>
    <w:tmpl w:val="CB367236"/>
    <w:lvl w:ilvl="0" w:tplc="5A76D71C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67F40D8"/>
    <w:multiLevelType w:val="hybridMultilevel"/>
    <w:tmpl w:val="C4D489C8"/>
    <w:lvl w:ilvl="0" w:tplc="5A76D71C">
      <w:start w:val="1"/>
      <w:numFmt w:val="lowerLetter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F40068C"/>
    <w:multiLevelType w:val="hybridMultilevel"/>
    <w:tmpl w:val="DE0856D0"/>
    <w:lvl w:ilvl="0" w:tplc="859E9CD4">
      <w:start w:val="1"/>
      <w:numFmt w:val="decimal"/>
      <w:lvlText w:val="(%1）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0348B7"/>
    <w:multiLevelType w:val="hybridMultilevel"/>
    <w:tmpl w:val="7A824A6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077"/>
    <w:rsid w:val="00082077"/>
    <w:rsid w:val="000E3B6F"/>
    <w:rsid w:val="00471572"/>
    <w:rsid w:val="005577AC"/>
    <w:rsid w:val="00591CED"/>
    <w:rsid w:val="005A10E8"/>
    <w:rsid w:val="005B5774"/>
    <w:rsid w:val="005B6D61"/>
    <w:rsid w:val="00867869"/>
    <w:rsid w:val="00A25A3D"/>
    <w:rsid w:val="00AC2457"/>
    <w:rsid w:val="00B76F17"/>
    <w:rsid w:val="00D15766"/>
    <w:rsid w:val="00D410B7"/>
    <w:rsid w:val="00D4310E"/>
    <w:rsid w:val="00F51410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B3372"/>
  <w15:docId w15:val="{F9DE4D52-2F43-4777-B3C9-D9F2BB39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6D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B6D6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B6D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B6D61"/>
    <w:rPr>
      <w:sz w:val="20"/>
      <w:szCs w:val="20"/>
    </w:rPr>
  </w:style>
  <w:style w:type="paragraph" w:styleId="a8">
    <w:name w:val="No Spacing"/>
    <w:uiPriority w:val="1"/>
    <w:qFormat/>
    <w:rsid w:val="005B6D61"/>
    <w:rPr>
      <w:kern w:val="0"/>
      <w:sz w:val="22"/>
      <w:lang w:eastAsia="en-US"/>
    </w:rPr>
  </w:style>
  <w:style w:type="paragraph" w:styleId="a9">
    <w:name w:val="List Paragraph"/>
    <w:basedOn w:val="a"/>
    <w:uiPriority w:val="34"/>
    <w:qFormat/>
    <w:rsid w:val="00591CE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張雅慧 Chang, Ya-Hui</cp:lastModifiedBy>
  <cp:revision>3</cp:revision>
  <cp:lastPrinted>2014-03-04T01:07:00Z</cp:lastPrinted>
  <dcterms:created xsi:type="dcterms:W3CDTF">2025-09-02T02:13:00Z</dcterms:created>
  <dcterms:modified xsi:type="dcterms:W3CDTF">2025-09-22T09:35:00Z</dcterms:modified>
</cp:coreProperties>
</file>